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389" w:tblpY="1390"/>
        <w:tblOverlap w:val="never"/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45"/>
        <w:gridCol w:w="1110"/>
        <w:gridCol w:w="1155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组别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部   门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总人数   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%名额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系部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校长室、</w:t>
            </w:r>
            <w:r>
              <w:rPr>
                <w:rFonts w:hint="eastAsia" w:ascii="宋体" w:hAnsi="宋体"/>
                <w:color w:val="000000"/>
                <w:sz w:val="24"/>
              </w:rPr>
              <w:t>党政办、工会、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教诊改、国际交流、人财处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教务处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苏娅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学生处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田开元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后勤保障处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艺术系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汽车系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现代系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烹饪系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曹荣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汇  总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392</w:t>
            </w:r>
          </w:p>
        </w:tc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附表1：</w:t>
      </w:r>
    </w:p>
    <w:p/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2017年学校优秀工会工作者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名额分配表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4F16"/>
    <w:rsid w:val="380E4F16"/>
    <w:rsid w:val="7A1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2017-12-21T05:00:00Z</dcterms:created>
  <dc:creator>唐卉1410625370</dc:creator>
  <cp:lastModifiedBy>唐卉1410625370</cp:lastModifiedBy>
  <dcterms:modified xsi:type="dcterms:W3CDTF">2017-12-21T05:01:16Z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